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FA27" w14:textId="5AC5E75A" w:rsidR="00C73A71" w:rsidRPr="00C73A71" w:rsidRDefault="00B32476" w:rsidP="00C73A71">
      <w:pPr>
        <w:rPr>
          <w:b/>
          <w:bCs/>
          <w:sz w:val="28"/>
          <w:szCs w:val="28"/>
        </w:rPr>
      </w:pPr>
      <w:r>
        <w:rPr>
          <w:b/>
          <w:bCs/>
          <w:sz w:val="28"/>
          <w:szCs w:val="28"/>
        </w:rPr>
        <w:fldChar w:fldCharType="begin"/>
      </w:r>
      <w:r>
        <w:rPr>
          <w:b/>
          <w:bCs/>
          <w:sz w:val="28"/>
          <w:szCs w:val="28"/>
        </w:rPr>
        <w:instrText>HYPERLINK "https://www.huduser.gov/portal/datasets/il/il2023/2023summary.odn?STATES=37.0&amp;INPUTNAME=METRO16740M16740*3717999999%2BUnion+County&amp;statelist=&amp;stname=North+Carolina&amp;wherefrom=%24wherefrom%24&amp;statefp=37&amp;year=2023&amp;ne_flag=&amp;selection_type=county&amp;incpath=%24incpath%24&amp;data=2023&amp;SubmitButton=View+County+Calculations"</w:instrText>
      </w:r>
      <w:r>
        <w:rPr>
          <w:b/>
          <w:bCs/>
          <w:sz w:val="28"/>
          <w:szCs w:val="28"/>
        </w:rPr>
      </w:r>
      <w:r>
        <w:rPr>
          <w:b/>
          <w:bCs/>
          <w:sz w:val="28"/>
          <w:szCs w:val="28"/>
        </w:rPr>
        <w:fldChar w:fldCharType="separate"/>
      </w:r>
      <w:r w:rsidR="00C73A71" w:rsidRPr="00C73A71">
        <w:rPr>
          <w:rStyle w:val="Hyperlink"/>
          <w:b/>
          <w:bCs/>
          <w:sz w:val="28"/>
          <w:szCs w:val="28"/>
        </w:rPr>
        <w:t>FY 2023 Income Limits Summary</w:t>
      </w:r>
      <w:r>
        <w:rPr>
          <w:b/>
          <w:bCs/>
          <w:sz w:val="28"/>
          <w:szCs w:val="28"/>
        </w:rPr>
        <w:fldChar w:fldCharType="end"/>
      </w:r>
    </w:p>
    <w:tbl>
      <w:tblPr>
        <w:tblW w:w="0" w:type="auto"/>
        <w:tblInd w:w="540" w:type="dxa"/>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1896"/>
        <w:gridCol w:w="1933"/>
        <w:gridCol w:w="2118"/>
        <w:gridCol w:w="793"/>
        <w:gridCol w:w="793"/>
        <w:gridCol w:w="793"/>
        <w:gridCol w:w="795"/>
        <w:gridCol w:w="793"/>
        <w:gridCol w:w="793"/>
        <w:gridCol w:w="793"/>
        <w:gridCol w:w="904"/>
      </w:tblGrid>
      <w:tr w:rsidR="00C73A71" w:rsidRPr="00C73A71" w14:paraId="7C42AA98" w14:textId="77777777" w:rsidTr="00C73A71">
        <w:tc>
          <w:tcPr>
            <w:tcW w:w="0" w:type="auto"/>
            <w:vMerge w:val="restart"/>
            <w:tcBorders>
              <w:top w:val="single" w:sz="6" w:space="0" w:color="808080"/>
              <w:left w:val="single" w:sz="6" w:space="0" w:color="808080"/>
              <w:bottom w:val="single" w:sz="6" w:space="0" w:color="808080"/>
              <w:right w:val="single" w:sz="6" w:space="0" w:color="808080"/>
            </w:tcBorders>
            <w:shd w:val="clear" w:color="auto" w:fill="EBEBED"/>
            <w:tcMar>
              <w:top w:w="90" w:type="dxa"/>
              <w:left w:w="90" w:type="dxa"/>
              <w:bottom w:w="90" w:type="dxa"/>
              <w:right w:w="90" w:type="dxa"/>
            </w:tcMar>
            <w:vAlign w:val="center"/>
            <w:hideMark/>
          </w:tcPr>
          <w:p w14:paraId="003A86A2" w14:textId="77777777" w:rsidR="00C73A71" w:rsidRPr="00C73A71" w:rsidRDefault="00C73A71" w:rsidP="00C73A71">
            <w:pPr>
              <w:rPr>
                <w:b/>
                <w:bCs/>
              </w:rPr>
            </w:pPr>
            <w:r w:rsidRPr="00C73A71">
              <w:rPr>
                <w:b/>
                <w:bCs/>
              </w:rPr>
              <w:t>FY 2023 Income Limit Area</w:t>
            </w:r>
          </w:p>
        </w:tc>
        <w:tc>
          <w:tcPr>
            <w:tcW w:w="0" w:type="auto"/>
            <w:vMerge w:val="restart"/>
            <w:tcBorders>
              <w:top w:val="single" w:sz="6" w:space="0" w:color="808080"/>
              <w:left w:val="single" w:sz="6" w:space="0" w:color="808080"/>
              <w:bottom w:val="single" w:sz="6" w:space="0" w:color="808080"/>
              <w:right w:val="single" w:sz="6" w:space="0" w:color="808080"/>
            </w:tcBorders>
            <w:shd w:val="clear" w:color="auto" w:fill="EBEBED"/>
            <w:tcMar>
              <w:top w:w="90" w:type="dxa"/>
              <w:left w:w="90" w:type="dxa"/>
              <w:bottom w:w="90" w:type="dxa"/>
              <w:right w:w="90" w:type="dxa"/>
            </w:tcMar>
            <w:vAlign w:val="center"/>
            <w:hideMark/>
          </w:tcPr>
          <w:p w14:paraId="604BADDF" w14:textId="77777777" w:rsidR="00C73A71" w:rsidRPr="00C73A71" w:rsidRDefault="00C73A71" w:rsidP="00C73A71">
            <w:pPr>
              <w:rPr>
                <w:b/>
                <w:bCs/>
              </w:rPr>
            </w:pPr>
            <w:r w:rsidRPr="00C73A71">
              <w:rPr>
                <w:b/>
                <w:bCs/>
              </w:rPr>
              <w:t>Median Family Income</w:t>
            </w:r>
          </w:p>
          <w:p w14:paraId="525A269E" w14:textId="77777777" w:rsidR="00C73A71" w:rsidRPr="00C73A71" w:rsidRDefault="00C73A71" w:rsidP="00C73A71">
            <w:pPr>
              <w:rPr>
                <w:vanish/>
              </w:rPr>
            </w:pPr>
            <w:r w:rsidRPr="00C73A71">
              <w:rPr>
                <w:vanish/>
              </w:rPr>
              <w:t>Top of Form</w:t>
            </w:r>
          </w:p>
          <w:p w14:paraId="6788651F" w14:textId="7B6DB195" w:rsidR="00C73A71" w:rsidRPr="00C73A71" w:rsidRDefault="00C73A71" w:rsidP="00C73A71">
            <w:pPr>
              <w:rPr>
                <w:b/>
                <w:bCs/>
              </w:rPr>
            </w:pPr>
            <w:r w:rsidRPr="00C73A71">
              <w:rPr>
                <w:b/>
                <w:bCs/>
              </w:rPr>
              <w:object w:dxaOrig="1440" w:dyaOrig="1440" w14:anchorId="7D430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84pt;height:22.5pt" o:ole="">
                  <v:imagedata r:id="rId5" o:title=""/>
                </v:shape>
                <w:control r:id="rId6" w:name="DefaultOcxName" w:shapeid="_x0000_i1056"/>
              </w:object>
            </w:r>
          </w:p>
          <w:p w14:paraId="769C3B69" w14:textId="77777777" w:rsidR="00C73A71" w:rsidRPr="00C73A71" w:rsidRDefault="00C73A71" w:rsidP="00C73A71">
            <w:pPr>
              <w:rPr>
                <w:vanish/>
              </w:rPr>
            </w:pPr>
            <w:r w:rsidRPr="00C73A71">
              <w:rPr>
                <w:vanish/>
              </w:rPr>
              <w:t>Bottom of Form</w:t>
            </w:r>
          </w:p>
        </w:tc>
        <w:tc>
          <w:tcPr>
            <w:tcW w:w="0" w:type="auto"/>
            <w:vMerge w:val="restart"/>
            <w:tcBorders>
              <w:top w:val="single" w:sz="6" w:space="0" w:color="808080"/>
              <w:left w:val="single" w:sz="6" w:space="0" w:color="808080"/>
              <w:bottom w:val="single" w:sz="6" w:space="0" w:color="808080"/>
              <w:right w:val="single" w:sz="6" w:space="0" w:color="808080"/>
            </w:tcBorders>
            <w:shd w:val="clear" w:color="auto" w:fill="EBEBED"/>
            <w:tcMar>
              <w:top w:w="90" w:type="dxa"/>
              <w:left w:w="90" w:type="dxa"/>
              <w:bottom w:w="90" w:type="dxa"/>
              <w:right w:w="90" w:type="dxa"/>
            </w:tcMar>
            <w:vAlign w:val="center"/>
            <w:hideMark/>
          </w:tcPr>
          <w:p w14:paraId="62A03396" w14:textId="77777777" w:rsidR="00C73A71" w:rsidRPr="00C73A71" w:rsidRDefault="00C73A71" w:rsidP="00C73A71">
            <w:pPr>
              <w:rPr>
                <w:b/>
                <w:bCs/>
              </w:rPr>
            </w:pPr>
            <w:r w:rsidRPr="00C73A71">
              <w:rPr>
                <w:b/>
                <w:bCs/>
              </w:rPr>
              <w:t>FY 2023 Income Limit Category</w:t>
            </w:r>
          </w:p>
        </w:tc>
        <w:tc>
          <w:tcPr>
            <w:tcW w:w="0" w:type="auto"/>
            <w:gridSpan w:val="8"/>
            <w:tcBorders>
              <w:top w:val="single" w:sz="6" w:space="0" w:color="808080"/>
              <w:left w:val="single" w:sz="6" w:space="0" w:color="808080"/>
              <w:bottom w:val="nil"/>
              <w:right w:val="single" w:sz="6" w:space="0" w:color="808080"/>
            </w:tcBorders>
            <w:shd w:val="clear" w:color="auto" w:fill="EBEBED"/>
            <w:tcMar>
              <w:top w:w="90" w:type="dxa"/>
              <w:left w:w="90" w:type="dxa"/>
              <w:bottom w:w="90" w:type="dxa"/>
              <w:right w:w="90" w:type="dxa"/>
            </w:tcMar>
            <w:vAlign w:val="center"/>
            <w:hideMark/>
          </w:tcPr>
          <w:p w14:paraId="36E7F8DB" w14:textId="77777777" w:rsidR="00C73A71" w:rsidRPr="00C73A71" w:rsidRDefault="00C73A71" w:rsidP="00C73A71">
            <w:pPr>
              <w:rPr>
                <w:b/>
                <w:bCs/>
              </w:rPr>
            </w:pPr>
            <w:r w:rsidRPr="00C73A71">
              <w:rPr>
                <w:b/>
                <w:bCs/>
              </w:rPr>
              <w:t>Persons in Family</w:t>
            </w:r>
          </w:p>
        </w:tc>
      </w:tr>
      <w:tr w:rsidR="00C73A71" w:rsidRPr="00C73A71" w14:paraId="2D90177A" w14:textId="77777777" w:rsidTr="00C73A71">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bottom"/>
            <w:hideMark/>
          </w:tcPr>
          <w:p w14:paraId="24977C89" w14:textId="77777777" w:rsidR="00C73A71" w:rsidRPr="00C73A71" w:rsidRDefault="00C73A71" w:rsidP="00C73A71">
            <w:pPr>
              <w:rPr>
                <w:b/>
                <w:bCs/>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bottom"/>
            <w:hideMark/>
          </w:tcPr>
          <w:p w14:paraId="62915C39" w14:textId="77777777" w:rsidR="00C73A71" w:rsidRPr="00C73A71" w:rsidRDefault="00C73A71" w:rsidP="00C73A71">
            <w:pPr>
              <w:rPr>
                <w:vanish/>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bottom"/>
            <w:hideMark/>
          </w:tcPr>
          <w:p w14:paraId="7D8BE958" w14:textId="77777777" w:rsidR="00C73A71" w:rsidRPr="00C73A71" w:rsidRDefault="00C73A71" w:rsidP="00C73A71">
            <w:pPr>
              <w:rPr>
                <w:b/>
                <w:bCs/>
              </w:rPr>
            </w:pPr>
          </w:p>
        </w:tc>
        <w:tc>
          <w:tcPr>
            <w:tcW w:w="0" w:type="auto"/>
            <w:tcBorders>
              <w:top w:val="single" w:sz="6" w:space="0" w:color="808080"/>
              <w:left w:val="single" w:sz="6" w:space="0" w:color="808080"/>
              <w:bottom w:val="single" w:sz="6" w:space="0" w:color="808080"/>
              <w:right w:val="single" w:sz="6" w:space="0" w:color="808080"/>
            </w:tcBorders>
            <w:shd w:val="clear" w:color="auto" w:fill="EBEBED"/>
            <w:tcMar>
              <w:top w:w="90" w:type="dxa"/>
              <w:left w:w="90" w:type="dxa"/>
              <w:bottom w:w="90" w:type="dxa"/>
              <w:right w:w="90" w:type="dxa"/>
            </w:tcMar>
            <w:vAlign w:val="center"/>
            <w:hideMark/>
          </w:tcPr>
          <w:p w14:paraId="7B83D1B9" w14:textId="77777777" w:rsidR="00C73A71" w:rsidRPr="00C73A71" w:rsidRDefault="00C73A71" w:rsidP="00C73A71">
            <w:pPr>
              <w:rPr>
                <w:b/>
                <w:bCs/>
              </w:rPr>
            </w:pPr>
            <w:r w:rsidRPr="00C73A71">
              <w:rPr>
                <w:b/>
                <w:bCs/>
              </w:rPr>
              <w:t>1</w:t>
            </w:r>
          </w:p>
        </w:tc>
        <w:tc>
          <w:tcPr>
            <w:tcW w:w="0" w:type="auto"/>
            <w:tcBorders>
              <w:top w:val="single" w:sz="6" w:space="0" w:color="808080"/>
              <w:left w:val="single" w:sz="6" w:space="0" w:color="808080"/>
              <w:bottom w:val="single" w:sz="6" w:space="0" w:color="808080"/>
              <w:right w:val="single" w:sz="6" w:space="0" w:color="808080"/>
            </w:tcBorders>
            <w:shd w:val="clear" w:color="auto" w:fill="EBEBED"/>
            <w:tcMar>
              <w:top w:w="90" w:type="dxa"/>
              <w:left w:w="90" w:type="dxa"/>
              <w:bottom w:w="90" w:type="dxa"/>
              <w:right w:w="90" w:type="dxa"/>
            </w:tcMar>
            <w:vAlign w:val="center"/>
            <w:hideMark/>
          </w:tcPr>
          <w:p w14:paraId="0B1190AF" w14:textId="77777777" w:rsidR="00C73A71" w:rsidRPr="00C73A71" w:rsidRDefault="00C73A71" w:rsidP="00C73A71">
            <w:pPr>
              <w:rPr>
                <w:b/>
                <w:bCs/>
              </w:rPr>
            </w:pPr>
            <w:r w:rsidRPr="00C73A71">
              <w:rPr>
                <w:b/>
                <w:bCs/>
              </w:rPr>
              <w:t>2</w:t>
            </w:r>
          </w:p>
        </w:tc>
        <w:tc>
          <w:tcPr>
            <w:tcW w:w="0" w:type="auto"/>
            <w:tcBorders>
              <w:top w:val="single" w:sz="6" w:space="0" w:color="808080"/>
              <w:left w:val="single" w:sz="6" w:space="0" w:color="808080"/>
              <w:bottom w:val="single" w:sz="6" w:space="0" w:color="808080"/>
              <w:right w:val="single" w:sz="6" w:space="0" w:color="808080"/>
            </w:tcBorders>
            <w:shd w:val="clear" w:color="auto" w:fill="EBEBED"/>
            <w:tcMar>
              <w:top w:w="90" w:type="dxa"/>
              <w:left w:w="90" w:type="dxa"/>
              <w:bottom w:w="90" w:type="dxa"/>
              <w:right w:w="90" w:type="dxa"/>
            </w:tcMar>
            <w:vAlign w:val="center"/>
            <w:hideMark/>
          </w:tcPr>
          <w:p w14:paraId="3BE84165" w14:textId="77777777" w:rsidR="00C73A71" w:rsidRPr="00C73A71" w:rsidRDefault="00C73A71" w:rsidP="00C73A71">
            <w:pPr>
              <w:rPr>
                <w:b/>
                <w:bCs/>
              </w:rPr>
            </w:pPr>
            <w:r w:rsidRPr="00C73A71">
              <w:rPr>
                <w:b/>
                <w:bCs/>
              </w:rPr>
              <w:t>3</w:t>
            </w:r>
          </w:p>
        </w:tc>
        <w:tc>
          <w:tcPr>
            <w:tcW w:w="0" w:type="auto"/>
            <w:tcBorders>
              <w:top w:val="single" w:sz="6" w:space="0" w:color="808080"/>
              <w:left w:val="single" w:sz="6" w:space="0" w:color="808080"/>
              <w:bottom w:val="single" w:sz="6" w:space="0" w:color="808080"/>
              <w:right w:val="single" w:sz="6" w:space="0" w:color="808080"/>
            </w:tcBorders>
            <w:shd w:val="clear" w:color="auto" w:fill="EBEBED"/>
            <w:tcMar>
              <w:top w:w="90" w:type="dxa"/>
              <w:left w:w="90" w:type="dxa"/>
              <w:bottom w:w="90" w:type="dxa"/>
              <w:right w:w="90" w:type="dxa"/>
            </w:tcMar>
            <w:vAlign w:val="center"/>
            <w:hideMark/>
          </w:tcPr>
          <w:p w14:paraId="5821A5E4" w14:textId="77777777" w:rsidR="00C73A71" w:rsidRPr="00C73A71" w:rsidRDefault="00C73A71" w:rsidP="00C73A71">
            <w:pPr>
              <w:rPr>
                <w:b/>
                <w:bCs/>
              </w:rPr>
            </w:pPr>
            <w:r w:rsidRPr="00C73A71">
              <w:rPr>
                <w:b/>
                <w:bCs/>
              </w:rPr>
              <w:t>4</w:t>
            </w:r>
          </w:p>
        </w:tc>
        <w:tc>
          <w:tcPr>
            <w:tcW w:w="0" w:type="auto"/>
            <w:tcBorders>
              <w:top w:val="single" w:sz="6" w:space="0" w:color="808080"/>
              <w:left w:val="single" w:sz="6" w:space="0" w:color="808080"/>
              <w:bottom w:val="single" w:sz="6" w:space="0" w:color="808080"/>
              <w:right w:val="single" w:sz="6" w:space="0" w:color="808080"/>
            </w:tcBorders>
            <w:shd w:val="clear" w:color="auto" w:fill="EBEBED"/>
            <w:tcMar>
              <w:top w:w="90" w:type="dxa"/>
              <w:left w:w="90" w:type="dxa"/>
              <w:bottom w:w="90" w:type="dxa"/>
              <w:right w:w="90" w:type="dxa"/>
            </w:tcMar>
            <w:vAlign w:val="center"/>
            <w:hideMark/>
          </w:tcPr>
          <w:p w14:paraId="1DE612BE" w14:textId="77777777" w:rsidR="00C73A71" w:rsidRPr="00C73A71" w:rsidRDefault="00C73A71" w:rsidP="00C73A71">
            <w:pPr>
              <w:rPr>
                <w:b/>
                <w:bCs/>
              </w:rPr>
            </w:pPr>
            <w:r w:rsidRPr="00C73A71">
              <w:rPr>
                <w:b/>
                <w:bCs/>
              </w:rPr>
              <w:t>5</w:t>
            </w:r>
          </w:p>
        </w:tc>
        <w:tc>
          <w:tcPr>
            <w:tcW w:w="0" w:type="auto"/>
            <w:tcBorders>
              <w:top w:val="single" w:sz="6" w:space="0" w:color="808080"/>
              <w:left w:val="single" w:sz="6" w:space="0" w:color="808080"/>
              <w:bottom w:val="single" w:sz="6" w:space="0" w:color="808080"/>
              <w:right w:val="single" w:sz="6" w:space="0" w:color="808080"/>
            </w:tcBorders>
            <w:shd w:val="clear" w:color="auto" w:fill="EBEBED"/>
            <w:tcMar>
              <w:top w:w="90" w:type="dxa"/>
              <w:left w:w="90" w:type="dxa"/>
              <w:bottom w:w="90" w:type="dxa"/>
              <w:right w:w="90" w:type="dxa"/>
            </w:tcMar>
            <w:vAlign w:val="center"/>
            <w:hideMark/>
          </w:tcPr>
          <w:p w14:paraId="1E69C09E" w14:textId="77777777" w:rsidR="00C73A71" w:rsidRPr="00C73A71" w:rsidRDefault="00C73A71" w:rsidP="00C73A71">
            <w:pPr>
              <w:rPr>
                <w:b/>
                <w:bCs/>
              </w:rPr>
            </w:pPr>
            <w:r w:rsidRPr="00C73A71">
              <w:rPr>
                <w:b/>
                <w:bCs/>
              </w:rPr>
              <w:t>6</w:t>
            </w:r>
          </w:p>
        </w:tc>
        <w:tc>
          <w:tcPr>
            <w:tcW w:w="0" w:type="auto"/>
            <w:tcBorders>
              <w:top w:val="single" w:sz="6" w:space="0" w:color="808080"/>
              <w:left w:val="single" w:sz="6" w:space="0" w:color="808080"/>
              <w:bottom w:val="single" w:sz="6" w:space="0" w:color="808080"/>
              <w:right w:val="single" w:sz="6" w:space="0" w:color="808080"/>
            </w:tcBorders>
            <w:shd w:val="clear" w:color="auto" w:fill="EBEBED"/>
            <w:tcMar>
              <w:top w:w="90" w:type="dxa"/>
              <w:left w:w="90" w:type="dxa"/>
              <w:bottom w:w="90" w:type="dxa"/>
              <w:right w:w="90" w:type="dxa"/>
            </w:tcMar>
            <w:vAlign w:val="center"/>
            <w:hideMark/>
          </w:tcPr>
          <w:p w14:paraId="5A0F2CB6" w14:textId="77777777" w:rsidR="00C73A71" w:rsidRPr="00C73A71" w:rsidRDefault="00C73A71" w:rsidP="00C73A71">
            <w:pPr>
              <w:rPr>
                <w:b/>
                <w:bCs/>
              </w:rPr>
            </w:pPr>
            <w:r w:rsidRPr="00C73A71">
              <w:rPr>
                <w:b/>
                <w:bCs/>
              </w:rPr>
              <w:t>7</w:t>
            </w:r>
          </w:p>
        </w:tc>
        <w:tc>
          <w:tcPr>
            <w:tcW w:w="0" w:type="auto"/>
            <w:tcBorders>
              <w:top w:val="single" w:sz="6" w:space="0" w:color="808080"/>
              <w:left w:val="single" w:sz="6" w:space="0" w:color="808080"/>
              <w:bottom w:val="single" w:sz="6" w:space="0" w:color="808080"/>
              <w:right w:val="single" w:sz="6" w:space="0" w:color="808080"/>
            </w:tcBorders>
            <w:shd w:val="clear" w:color="auto" w:fill="EBEBED"/>
            <w:tcMar>
              <w:top w:w="90" w:type="dxa"/>
              <w:left w:w="90" w:type="dxa"/>
              <w:bottom w:w="90" w:type="dxa"/>
              <w:right w:w="90" w:type="dxa"/>
            </w:tcMar>
            <w:vAlign w:val="center"/>
            <w:hideMark/>
          </w:tcPr>
          <w:p w14:paraId="13332E9E" w14:textId="77777777" w:rsidR="00C73A71" w:rsidRPr="00C73A71" w:rsidRDefault="00C73A71" w:rsidP="00C73A71">
            <w:pPr>
              <w:rPr>
                <w:b/>
                <w:bCs/>
              </w:rPr>
            </w:pPr>
            <w:r w:rsidRPr="00C73A71">
              <w:rPr>
                <w:b/>
                <w:bCs/>
              </w:rPr>
              <w:t>8</w:t>
            </w:r>
          </w:p>
        </w:tc>
      </w:tr>
      <w:tr w:rsidR="00C73A71" w:rsidRPr="00C73A71" w14:paraId="5821AA59" w14:textId="77777777" w:rsidTr="00C73A71">
        <w:tc>
          <w:tcPr>
            <w:tcW w:w="0" w:type="auto"/>
            <w:vMerge w:val="restart"/>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0BE16004" w14:textId="77777777" w:rsidR="00C73A71" w:rsidRPr="00C73A71" w:rsidRDefault="00C73A71" w:rsidP="00C73A71">
            <w:pPr>
              <w:rPr>
                <w:b/>
                <w:bCs/>
              </w:rPr>
            </w:pPr>
            <w:r w:rsidRPr="00C73A71">
              <w:rPr>
                <w:b/>
                <w:bCs/>
              </w:rPr>
              <w:t>Charlotte-Concord-Gastonia, NC-SC HUD Metro FMR Area</w:t>
            </w:r>
          </w:p>
        </w:tc>
        <w:tc>
          <w:tcPr>
            <w:tcW w:w="0" w:type="auto"/>
            <w:vMerge w:val="restart"/>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602D31DF" w14:textId="77777777" w:rsidR="00C73A71" w:rsidRPr="00C73A71" w:rsidRDefault="00C73A71" w:rsidP="00C73A71">
            <w:r w:rsidRPr="00C73A71">
              <w:t>$102,800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40DF2F99" w14:textId="77777777" w:rsidR="00C73A71" w:rsidRPr="00C73A71" w:rsidRDefault="00C73A71" w:rsidP="00C73A71">
            <w:pPr>
              <w:rPr>
                <w:b/>
                <w:bCs/>
              </w:rPr>
            </w:pPr>
            <w:r w:rsidRPr="00C73A71">
              <w:rPr>
                <w:b/>
                <w:bCs/>
              </w:rPr>
              <w:t>Very Low (50%) Income Limits ($)</w:t>
            </w:r>
          </w:p>
          <w:p w14:paraId="4D31D686" w14:textId="77777777" w:rsidR="00C73A71" w:rsidRPr="00C73A71" w:rsidRDefault="00C73A71" w:rsidP="00C73A71">
            <w:pPr>
              <w:rPr>
                <w:vanish/>
              </w:rPr>
            </w:pPr>
            <w:r w:rsidRPr="00C73A71">
              <w:rPr>
                <w:vanish/>
              </w:rPr>
              <w:t>Top of Form</w:t>
            </w:r>
          </w:p>
          <w:p w14:paraId="0BFFB9A2" w14:textId="04322FCE" w:rsidR="00C73A71" w:rsidRPr="00C73A71" w:rsidRDefault="00C73A71" w:rsidP="00C73A71">
            <w:pPr>
              <w:rPr>
                <w:b/>
                <w:bCs/>
              </w:rPr>
            </w:pPr>
            <w:r w:rsidRPr="00C73A71">
              <w:rPr>
                <w:b/>
                <w:bCs/>
              </w:rPr>
              <w:object w:dxaOrig="1440" w:dyaOrig="1440" w14:anchorId="0E903021">
                <v:shape id="_x0000_i1055" type="#_x0000_t75" style="width:84pt;height:22.5pt" o:ole="">
                  <v:imagedata r:id="rId7" o:title=""/>
                </v:shape>
                <w:control r:id="rId8" w:name="DefaultOcxName1" w:shapeid="_x0000_i1055"/>
              </w:object>
            </w:r>
          </w:p>
          <w:p w14:paraId="6C81455B" w14:textId="77777777" w:rsidR="00C73A71" w:rsidRPr="00C73A71" w:rsidRDefault="00C73A71" w:rsidP="00C73A71">
            <w:pPr>
              <w:rPr>
                <w:vanish/>
              </w:rPr>
            </w:pPr>
            <w:r w:rsidRPr="00C73A71">
              <w:rPr>
                <w:vanish/>
              </w:rPr>
              <w:t>Bottom of Form</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364E952B" w14:textId="77777777" w:rsidR="00C73A71" w:rsidRPr="00C73A71" w:rsidRDefault="00C73A71" w:rsidP="00C73A71">
            <w:r w:rsidRPr="00C73A71">
              <w:t>34,900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7FBD55AE" w14:textId="77777777" w:rsidR="00C73A71" w:rsidRPr="00C73A71" w:rsidRDefault="00C73A71" w:rsidP="00C73A71">
            <w:r w:rsidRPr="00C73A71">
              <w:t>39,900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1D8CE3DB" w14:textId="77777777" w:rsidR="00C73A71" w:rsidRPr="00C73A71" w:rsidRDefault="00C73A71" w:rsidP="00C73A71">
            <w:r w:rsidRPr="00C73A71">
              <w:t>44,900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410E14E9" w14:textId="77777777" w:rsidR="00C73A71" w:rsidRPr="00C73A71" w:rsidRDefault="00C73A71" w:rsidP="00C73A71">
            <w:r w:rsidRPr="00C73A71">
              <w:rPr>
                <w:b/>
                <w:bCs/>
              </w:rPr>
              <w:t>49,850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54450C01" w14:textId="77777777" w:rsidR="00C73A71" w:rsidRPr="00C73A71" w:rsidRDefault="00C73A71" w:rsidP="00C73A71">
            <w:r w:rsidRPr="00C73A71">
              <w:t>53,850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77EA68A3" w14:textId="77777777" w:rsidR="00C73A71" w:rsidRPr="00C73A71" w:rsidRDefault="00C73A71" w:rsidP="00C73A71">
            <w:r w:rsidRPr="00C73A71">
              <w:t>57,850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76BD3317" w14:textId="77777777" w:rsidR="00C73A71" w:rsidRPr="00C73A71" w:rsidRDefault="00C73A71" w:rsidP="00C73A71">
            <w:r w:rsidRPr="00C73A71">
              <w:t>61,850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535DFF8D" w14:textId="77777777" w:rsidR="00C73A71" w:rsidRPr="00C73A71" w:rsidRDefault="00C73A71" w:rsidP="00C73A71">
            <w:r w:rsidRPr="00C73A71">
              <w:t>65,850</w:t>
            </w:r>
          </w:p>
        </w:tc>
      </w:tr>
      <w:tr w:rsidR="00C73A71" w:rsidRPr="00C73A71" w14:paraId="7E655CE1" w14:textId="77777777" w:rsidTr="00C73A71">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bottom"/>
            <w:hideMark/>
          </w:tcPr>
          <w:p w14:paraId="1E910847" w14:textId="77777777" w:rsidR="00C73A71" w:rsidRPr="00C73A71" w:rsidRDefault="00C73A71" w:rsidP="00C73A71">
            <w:pPr>
              <w:rPr>
                <w:b/>
                <w:bCs/>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bottom"/>
            <w:hideMark/>
          </w:tcPr>
          <w:p w14:paraId="3CF74D81" w14:textId="77777777" w:rsidR="00C73A71" w:rsidRPr="00C73A71" w:rsidRDefault="00C73A71" w:rsidP="00C73A71"/>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7665332A" w14:textId="77777777" w:rsidR="00C73A71" w:rsidRPr="00C73A71" w:rsidRDefault="00C73A71" w:rsidP="00C73A71">
            <w:pPr>
              <w:rPr>
                <w:b/>
                <w:bCs/>
              </w:rPr>
            </w:pPr>
            <w:r w:rsidRPr="00C73A71">
              <w:rPr>
                <w:b/>
                <w:bCs/>
              </w:rPr>
              <w:t>Extremely Low Income Limits (</w:t>
            </w:r>
            <w:proofErr w:type="gramStart"/>
            <w:r w:rsidRPr="00C73A71">
              <w:rPr>
                <w:b/>
                <w:bCs/>
              </w:rPr>
              <w:t>$)*</w:t>
            </w:r>
            <w:proofErr w:type="gramEnd"/>
          </w:p>
          <w:p w14:paraId="2368C247" w14:textId="77777777" w:rsidR="00C73A71" w:rsidRPr="00C73A71" w:rsidRDefault="00C73A71" w:rsidP="00C73A71">
            <w:pPr>
              <w:rPr>
                <w:vanish/>
              </w:rPr>
            </w:pPr>
            <w:r w:rsidRPr="00C73A71">
              <w:rPr>
                <w:vanish/>
              </w:rPr>
              <w:t>Top of Form</w:t>
            </w:r>
          </w:p>
          <w:p w14:paraId="04F1E68D" w14:textId="7CD30D26" w:rsidR="00C73A71" w:rsidRPr="00C73A71" w:rsidRDefault="00C73A71" w:rsidP="00C73A71">
            <w:pPr>
              <w:rPr>
                <w:b/>
                <w:bCs/>
              </w:rPr>
            </w:pPr>
            <w:r w:rsidRPr="00C73A71">
              <w:rPr>
                <w:b/>
                <w:bCs/>
              </w:rPr>
              <w:object w:dxaOrig="1440" w:dyaOrig="1440" w14:anchorId="4C931850">
                <v:shape id="_x0000_i1054" type="#_x0000_t75" style="width:84pt;height:22.5pt" o:ole="">
                  <v:imagedata r:id="rId9" o:title=""/>
                </v:shape>
                <w:control r:id="rId10" w:name="DefaultOcxName2" w:shapeid="_x0000_i1054"/>
              </w:object>
            </w:r>
          </w:p>
          <w:p w14:paraId="4F267102" w14:textId="77777777" w:rsidR="00C73A71" w:rsidRPr="00C73A71" w:rsidRDefault="00C73A71" w:rsidP="00C73A71">
            <w:pPr>
              <w:rPr>
                <w:vanish/>
              </w:rPr>
            </w:pPr>
            <w:r w:rsidRPr="00C73A71">
              <w:rPr>
                <w:vanish/>
              </w:rPr>
              <w:t>Bottom of Form</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10CA4600" w14:textId="77777777" w:rsidR="00C73A71" w:rsidRPr="00C73A71" w:rsidRDefault="00C73A71" w:rsidP="00C73A71">
            <w:r w:rsidRPr="00C73A71">
              <w:t>20,950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3AEC3389" w14:textId="77777777" w:rsidR="00C73A71" w:rsidRPr="00C73A71" w:rsidRDefault="00C73A71" w:rsidP="00C73A71">
            <w:r w:rsidRPr="00C73A71">
              <w:t>23,950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1281D7D4" w14:textId="77777777" w:rsidR="00C73A71" w:rsidRPr="00C73A71" w:rsidRDefault="00C73A71" w:rsidP="00C73A71">
            <w:r w:rsidRPr="00C73A71">
              <w:t>26,950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1A419751" w14:textId="77777777" w:rsidR="00C73A71" w:rsidRPr="00C73A71" w:rsidRDefault="00C73A71" w:rsidP="00C73A71">
            <w:r w:rsidRPr="00C73A71">
              <w:rPr>
                <w:b/>
                <w:bCs/>
              </w:rPr>
              <w:t>30,000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6156B3D9" w14:textId="77777777" w:rsidR="00C73A71" w:rsidRPr="00C73A71" w:rsidRDefault="00C73A71" w:rsidP="00C73A71">
            <w:r w:rsidRPr="00C73A71">
              <w:t>35,140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563E793A" w14:textId="77777777" w:rsidR="00C73A71" w:rsidRPr="00C73A71" w:rsidRDefault="00C73A71" w:rsidP="00C73A71">
            <w:r w:rsidRPr="00C73A71">
              <w:t>40,280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35BD8767" w14:textId="77777777" w:rsidR="00C73A71" w:rsidRPr="00C73A71" w:rsidRDefault="00C73A71" w:rsidP="00C73A71">
            <w:r w:rsidRPr="00C73A71">
              <w:t>45,420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43005262" w14:textId="77777777" w:rsidR="00C73A71" w:rsidRPr="00C73A71" w:rsidRDefault="00C73A71" w:rsidP="00C73A71">
            <w:r w:rsidRPr="00C73A71">
              <w:t>50,560</w:t>
            </w:r>
          </w:p>
        </w:tc>
      </w:tr>
      <w:tr w:rsidR="00C73A71" w:rsidRPr="00C73A71" w14:paraId="6368FD86" w14:textId="77777777" w:rsidTr="00C73A71">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bottom"/>
            <w:hideMark/>
          </w:tcPr>
          <w:p w14:paraId="11A9176E" w14:textId="77777777" w:rsidR="00C73A71" w:rsidRPr="00C73A71" w:rsidRDefault="00C73A71" w:rsidP="00C73A71">
            <w:pPr>
              <w:rPr>
                <w:b/>
                <w:bCs/>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bottom"/>
            <w:hideMark/>
          </w:tcPr>
          <w:p w14:paraId="1EF49BD3" w14:textId="77777777" w:rsidR="00C73A71" w:rsidRPr="00C73A71" w:rsidRDefault="00C73A71" w:rsidP="00C73A71"/>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290A9E5C" w14:textId="77777777" w:rsidR="00C73A71" w:rsidRPr="00C73A71" w:rsidRDefault="00C73A71" w:rsidP="00C73A71">
            <w:pPr>
              <w:rPr>
                <w:b/>
                <w:bCs/>
              </w:rPr>
            </w:pPr>
            <w:r w:rsidRPr="00C73A71">
              <w:rPr>
                <w:b/>
                <w:bCs/>
              </w:rPr>
              <w:t>Low (80%) Income Limits ($)</w:t>
            </w:r>
          </w:p>
          <w:p w14:paraId="1769E573" w14:textId="77777777" w:rsidR="00C73A71" w:rsidRPr="00C73A71" w:rsidRDefault="00C73A71" w:rsidP="00C73A71">
            <w:pPr>
              <w:rPr>
                <w:vanish/>
              </w:rPr>
            </w:pPr>
            <w:r w:rsidRPr="00C73A71">
              <w:rPr>
                <w:vanish/>
              </w:rPr>
              <w:t>Top of Form</w:t>
            </w:r>
          </w:p>
          <w:p w14:paraId="54941ED4" w14:textId="21FC8F28" w:rsidR="00C73A71" w:rsidRPr="00C73A71" w:rsidRDefault="00C73A71" w:rsidP="00C73A71">
            <w:pPr>
              <w:rPr>
                <w:b/>
                <w:bCs/>
              </w:rPr>
            </w:pPr>
            <w:r w:rsidRPr="00C73A71">
              <w:rPr>
                <w:b/>
                <w:bCs/>
              </w:rPr>
              <w:object w:dxaOrig="1440" w:dyaOrig="1440" w14:anchorId="421882FD">
                <v:shape id="_x0000_i1053" type="#_x0000_t75" style="width:84pt;height:22.5pt" o:ole="">
                  <v:imagedata r:id="rId11" o:title=""/>
                </v:shape>
                <w:control r:id="rId12" w:name="DefaultOcxName3" w:shapeid="_x0000_i1053"/>
              </w:object>
            </w:r>
          </w:p>
          <w:p w14:paraId="516F91BE" w14:textId="77777777" w:rsidR="00C73A71" w:rsidRPr="00C73A71" w:rsidRDefault="00C73A71" w:rsidP="00C73A71">
            <w:pPr>
              <w:rPr>
                <w:vanish/>
              </w:rPr>
            </w:pPr>
            <w:r w:rsidRPr="00C73A71">
              <w:rPr>
                <w:vanish/>
              </w:rPr>
              <w:t>Bottom of Form</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403700FD" w14:textId="77777777" w:rsidR="00C73A71" w:rsidRPr="00C73A71" w:rsidRDefault="00C73A71" w:rsidP="00C73A71">
            <w:r w:rsidRPr="00C73A71">
              <w:t>55,850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192DB105" w14:textId="77777777" w:rsidR="00C73A71" w:rsidRPr="00C73A71" w:rsidRDefault="00C73A71" w:rsidP="00C73A71">
            <w:r w:rsidRPr="00C73A71">
              <w:t>63,800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08ECCEC2" w14:textId="77777777" w:rsidR="00C73A71" w:rsidRPr="00C73A71" w:rsidRDefault="00C73A71" w:rsidP="00C73A71">
            <w:r w:rsidRPr="00C73A71">
              <w:t>71,800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7FC495F4" w14:textId="77777777" w:rsidR="00C73A71" w:rsidRPr="00C73A71" w:rsidRDefault="00C73A71" w:rsidP="00C73A71">
            <w:r w:rsidRPr="00C73A71">
              <w:rPr>
                <w:b/>
                <w:bCs/>
              </w:rPr>
              <w:t>79,750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33B9BBA9" w14:textId="77777777" w:rsidR="00C73A71" w:rsidRPr="00C73A71" w:rsidRDefault="00C73A71" w:rsidP="00C73A71">
            <w:r w:rsidRPr="00C73A71">
              <w:t>86,150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77610C58" w14:textId="77777777" w:rsidR="00C73A71" w:rsidRPr="00C73A71" w:rsidRDefault="00C73A71" w:rsidP="00C73A71">
            <w:r w:rsidRPr="00C73A71">
              <w:t>92,550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612396E2" w14:textId="77777777" w:rsidR="00C73A71" w:rsidRPr="00C73A71" w:rsidRDefault="00C73A71" w:rsidP="00C73A71">
            <w:r w:rsidRPr="00C73A71">
              <w:t>98,900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2D605350" w14:textId="77777777" w:rsidR="00C73A71" w:rsidRPr="00C73A71" w:rsidRDefault="00C73A71" w:rsidP="00C73A71">
            <w:r w:rsidRPr="00C73A71">
              <w:t>105,300</w:t>
            </w:r>
          </w:p>
        </w:tc>
      </w:tr>
    </w:tbl>
    <w:p w14:paraId="6C044D68" w14:textId="77777777" w:rsidR="00C73A71" w:rsidRDefault="00C73A71" w:rsidP="00C73A71"/>
    <w:p w14:paraId="4DD2F93C" w14:textId="6CF41CDD" w:rsidR="00C73A71" w:rsidRPr="00C73A71" w:rsidRDefault="00C73A71" w:rsidP="00C73A71">
      <w:r w:rsidRPr="00C73A71">
        <w:t>NOTE: </w:t>
      </w:r>
      <w:r w:rsidRPr="00C73A71">
        <w:rPr>
          <w:b/>
          <w:bCs/>
        </w:rPr>
        <w:t>Union County</w:t>
      </w:r>
      <w:r w:rsidRPr="00C73A71">
        <w:t> is part of the </w:t>
      </w:r>
      <w:r w:rsidRPr="00C73A71">
        <w:rPr>
          <w:b/>
          <w:bCs/>
        </w:rPr>
        <w:t>Charlotte-Concord-Gastonia, NC-SC HUD Metro FMR Area</w:t>
      </w:r>
      <w:r w:rsidRPr="00C73A71">
        <w:t xml:space="preserve">, so all information presented here applies to </w:t>
      </w:r>
      <w:proofErr w:type="gramStart"/>
      <w:r w:rsidRPr="00C73A71">
        <w:t>all of</w:t>
      </w:r>
      <w:proofErr w:type="gramEnd"/>
      <w:r w:rsidRPr="00C73A71">
        <w:t xml:space="preserve"> the Charlotte-Concord-Gastonia, NC-SC HUD Metro FMR Area. HUD generally uses the Office of Management and Budget (OMB) area definitions in the calculation of income limit program parameters. However, to ensure that program parameters do not vary significantly due to area definition changes, HUD has used custom geographic definitions for the Charlotte-Concord-Gastonia, NC-SC HUD Metro FMR Area.</w:t>
      </w:r>
    </w:p>
    <w:p w14:paraId="31B060CB" w14:textId="77777777" w:rsidR="00C73A71" w:rsidRPr="00C73A71" w:rsidRDefault="00C73A71" w:rsidP="00C73A71">
      <w:r w:rsidRPr="00C73A71">
        <w:t>The </w:t>
      </w:r>
      <w:r w:rsidRPr="00C73A71">
        <w:rPr>
          <w:b/>
          <w:bCs/>
        </w:rPr>
        <w:t>Charlotte-Concord-Gastonia, NC-SC HUD Metro FMR Area</w:t>
      </w:r>
      <w:r w:rsidRPr="00C73A71">
        <w:t> contains the following areas: Cabarrus County, NC; Gaston County, NC; Mecklenburg County, NC; Union County, NC; and York County, SC.</w:t>
      </w:r>
    </w:p>
    <w:p w14:paraId="567E1819" w14:textId="521B424B" w:rsidR="00C73A71" w:rsidRPr="00C73A71" w:rsidRDefault="00C73A71" w:rsidP="00C73A71">
      <w:r w:rsidRPr="00C73A71">
        <w:lastRenderedPageBreak/>
        <w:t>* The FY 2014 Consolidated Appropriations Act changed the definition of extremely low-income to be the greater of 30/50ths (60 percent) of the Section 8 very low-income limit or the poverty guideline as </w:t>
      </w:r>
      <w:hyperlink r:id="rId13" w:history="1">
        <w:r w:rsidRPr="00C73A71">
          <w:rPr>
            <w:rStyle w:val="Hyperlink"/>
          </w:rPr>
          <w:t>established by the Department of Health and Human Services (HHS)</w:t>
        </w:r>
      </w:hyperlink>
      <w:r w:rsidRPr="00C73A71">
        <w:t xml:space="preserve">, provided that this amount is not greater than the Section 8 50% very low-income limit. Consequently, the extremely </w:t>
      </w:r>
      <w:r w:rsidR="00E62934" w:rsidRPr="00C73A71">
        <w:t>low-income</w:t>
      </w:r>
      <w:r w:rsidRPr="00C73A71">
        <w:t xml:space="preserve"> limits may equal the very low (50%) income limits.</w:t>
      </w:r>
    </w:p>
    <w:p w14:paraId="3E6F5471" w14:textId="77777777" w:rsidR="00C73A71" w:rsidRDefault="00C73A71" w:rsidP="00C73A71">
      <w:r w:rsidRPr="00C73A71">
        <w:t>Income Limit areas are based on FY 2023 Fair Market Rent (FMR) areas. For information on FMRs, please see our associated FY 2023 </w:t>
      </w:r>
      <w:hyperlink r:id="rId14" w:anchor="2023_query" w:history="1">
        <w:r w:rsidRPr="00C73A71">
          <w:rPr>
            <w:rStyle w:val="Hyperlink"/>
          </w:rPr>
          <w:t>Fair Market Rent documentation system</w:t>
        </w:r>
      </w:hyperlink>
      <w:r w:rsidRPr="00C73A71">
        <w:t>.</w:t>
      </w:r>
    </w:p>
    <w:p w14:paraId="1849C097" w14:textId="77777777" w:rsidR="00B32476" w:rsidRDefault="00B32476" w:rsidP="00C73A71"/>
    <w:p w14:paraId="791D5D69" w14:textId="6A6BB88B" w:rsidR="00B32476" w:rsidRDefault="00B32476" w:rsidP="00C73A71">
      <w:hyperlink r:id="rId15" w:history="1">
        <w:r w:rsidRPr="00376CDA">
          <w:rPr>
            <w:rStyle w:val="Hyperlink"/>
          </w:rPr>
          <w:t>https://nchousing.org/wp-content/uploads/2017/01/NCH-CountyProfile-Union.pdf</w:t>
        </w:r>
      </w:hyperlink>
    </w:p>
    <w:p w14:paraId="0D3E0A9A" w14:textId="77777777" w:rsidR="005447BB" w:rsidRPr="005447BB" w:rsidRDefault="005447BB" w:rsidP="005447BB">
      <w:pPr>
        <w:shd w:val="clear" w:color="auto" w:fill="FFFFFF"/>
        <w:spacing w:before="40" w:after="0" w:line="240" w:lineRule="auto"/>
        <w:outlineLvl w:val="1"/>
        <w:rPr>
          <w:rFonts w:eastAsia="Times New Roman" w:cstheme="minorHAnsi"/>
          <w:b/>
          <w:bCs/>
          <w:color w:val="B56016"/>
          <w:kern w:val="0"/>
          <w14:ligatures w14:val="none"/>
        </w:rPr>
      </w:pPr>
      <w:r w:rsidRPr="005447BB">
        <w:rPr>
          <w:rFonts w:eastAsia="Times New Roman" w:cstheme="minorHAnsi"/>
          <w:b/>
          <w:bCs/>
          <w:color w:val="B56016"/>
          <w:kern w:val="0"/>
          <w14:ligatures w14:val="none"/>
        </w:rPr>
        <w:t>What is "Affordable Housing"?</w:t>
      </w:r>
    </w:p>
    <w:p w14:paraId="20297137" w14:textId="77777777" w:rsidR="005447BB" w:rsidRPr="005447BB" w:rsidRDefault="005447BB" w:rsidP="005447BB">
      <w:pPr>
        <w:numPr>
          <w:ilvl w:val="0"/>
          <w:numId w:val="1"/>
        </w:numPr>
        <w:shd w:val="clear" w:color="auto" w:fill="FFFFFF"/>
        <w:spacing w:before="100" w:beforeAutospacing="1" w:after="84" w:line="240" w:lineRule="auto"/>
        <w:rPr>
          <w:rFonts w:eastAsia="Times New Roman" w:cstheme="minorHAnsi"/>
          <w:color w:val="383838"/>
          <w:kern w:val="0"/>
          <w14:ligatures w14:val="none"/>
        </w:rPr>
      </w:pPr>
      <w:r w:rsidRPr="005447BB">
        <w:rPr>
          <w:rFonts w:eastAsia="Times New Roman" w:cstheme="minorHAnsi"/>
          <w:b/>
          <w:bCs/>
          <w:color w:val="383838"/>
          <w:kern w:val="0"/>
          <w14:ligatures w14:val="none"/>
        </w:rPr>
        <w:t>"Affordable housing"</w:t>
      </w:r>
      <w:r w:rsidRPr="005447BB">
        <w:rPr>
          <w:rFonts w:eastAsia="Times New Roman" w:cstheme="minorHAnsi"/>
          <w:color w:val="383838"/>
          <w:kern w:val="0"/>
          <w14:ligatures w14:val="none"/>
        </w:rPr>
        <w:t> is housing that is affordable to households with low incomes, meaning that these </w:t>
      </w:r>
      <w:r w:rsidRPr="005447BB">
        <w:rPr>
          <w:rFonts w:eastAsia="Times New Roman" w:cstheme="minorHAnsi"/>
          <w:b/>
          <w:bCs/>
          <w:color w:val="383838"/>
          <w:kern w:val="0"/>
          <w14:ligatures w14:val="none"/>
        </w:rPr>
        <w:t>households pay no more than 30% of their income </w:t>
      </w:r>
      <w:r w:rsidRPr="005447BB">
        <w:rPr>
          <w:rFonts w:eastAsia="Times New Roman" w:cstheme="minorHAnsi"/>
          <w:color w:val="383838"/>
          <w:kern w:val="0"/>
          <w14:ligatures w14:val="none"/>
        </w:rPr>
        <w:t>for housing costs like rent, mortgage, and utilities.</w:t>
      </w:r>
    </w:p>
    <w:p w14:paraId="70E91874" w14:textId="77777777" w:rsidR="005447BB" w:rsidRPr="005447BB" w:rsidRDefault="005447BB" w:rsidP="005447BB">
      <w:pPr>
        <w:numPr>
          <w:ilvl w:val="0"/>
          <w:numId w:val="1"/>
        </w:numPr>
        <w:shd w:val="clear" w:color="auto" w:fill="FFFFFF"/>
        <w:spacing w:before="100" w:beforeAutospacing="1" w:after="84" w:line="240" w:lineRule="auto"/>
        <w:rPr>
          <w:rFonts w:eastAsia="Times New Roman" w:cstheme="minorHAnsi"/>
          <w:color w:val="383838"/>
          <w:kern w:val="0"/>
          <w14:ligatures w14:val="none"/>
        </w:rPr>
      </w:pPr>
      <w:r w:rsidRPr="005447BB">
        <w:rPr>
          <w:rFonts w:eastAsia="Times New Roman" w:cstheme="minorHAnsi"/>
          <w:b/>
          <w:bCs/>
          <w:color w:val="383838"/>
          <w:kern w:val="0"/>
          <w14:ligatures w14:val="none"/>
        </w:rPr>
        <w:t>"Low-income" </w:t>
      </w:r>
      <w:r w:rsidRPr="005447BB">
        <w:rPr>
          <w:rFonts w:eastAsia="Times New Roman" w:cstheme="minorHAnsi"/>
          <w:color w:val="383838"/>
          <w:kern w:val="0"/>
          <w14:ligatures w14:val="none"/>
        </w:rPr>
        <w:t>is based on the </w:t>
      </w:r>
      <w:r w:rsidRPr="005447BB">
        <w:rPr>
          <w:rFonts w:eastAsia="Times New Roman" w:cstheme="minorHAnsi"/>
          <w:b/>
          <w:bCs/>
          <w:color w:val="383838"/>
          <w:kern w:val="0"/>
          <w14:ligatures w14:val="none"/>
        </w:rPr>
        <w:t>Area Median Income ("AMI")</w:t>
      </w:r>
      <w:r w:rsidRPr="005447BB">
        <w:rPr>
          <w:rFonts w:eastAsia="Times New Roman" w:cstheme="minorHAnsi"/>
          <w:color w:val="383838"/>
          <w:kern w:val="0"/>
          <w14:ligatures w14:val="none"/>
        </w:rPr>
        <w:t> of the city or county. Typically, households are considered low-income if they earn no more than </w:t>
      </w:r>
      <w:r w:rsidRPr="005447BB">
        <w:rPr>
          <w:rFonts w:eastAsia="Times New Roman" w:cstheme="minorHAnsi"/>
          <w:b/>
          <w:bCs/>
          <w:color w:val="383838"/>
          <w:kern w:val="0"/>
          <w14:ligatures w14:val="none"/>
        </w:rPr>
        <w:t>80% of AMI</w:t>
      </w:r>
      <w:r w:rsidRPr="005447BB">
        <w:rPr>
          <w:rFonts w:eastAsia="Times New Roman" w:cstheme="minorHAnsi"/>
          <w:color w:val="383838"/>
          <w:kern w:val="0"/>
          <w14:ligatures w14:val="none"/>
        </w:rPr>
        <w:t>. </w:t>
      </w:r>
    </w:p>
    <w:p w14:paraId="395C134D" w14:textId="24CA10D1" w:rsidR="005447BB" w:rsidRPr="005447BB" w:rsidRDefault="005447BB" w:rsidP="005447BB">
      <w:pPr>
        <w:numPr>
          <w:ilvl w:val="1"/>
          <w:numId w:val="1"/>
        </w:numPr>
        <w:shd w:val="clear" w:color="auto" w:fill="FFFFFF"/>
        <w:spacing w:before="100" w:beforeAutospacing="1" w:after="84" w:line="240" w:lineRule="auto"/>
        <w:rPr>
          <w:rFonts w:eastAsia="Times New Roman" w:cstheme="minorHAnsi"/>
          <w:color w:val="383838"/>
          <w:kern w:val="0"/>
          <w14:ligatures w14:val="none"/>
        </w:rPr>
      </w:pPr>
      <w:r w:rsidRPr="005447BB">
        <w:rPr>
          <w:rFonts w:eastAsia="Times New Roman" w:cstheme="minorHAnsi"/>
          <w:color w:val="383838"/>
          <w:kern w:val="0"/>
          <w14:ligatures w14:val="none"/>
        </w:rPr>
        <w:t xml:space="preserve">Households earning under 50% of AMI are considered very </w:t>
      </w:r>
      <w:r w:rsidRPr="005447BB">
        <w:rPr>
          <w:rFonts w:eastAsia="Times New Roman" w:cstheme="minorHAnsi"/>
          <w:color w:val="383838"/>
          <w:kern w:val="0"/>
          <w14:ligatures w14:val="none"/>
        </w:rPr>
        <w:t>low-income.</w:t>
      </w:r>
    </w:p>
    <w:p w14:paraId="1C5D3FE0" w14:textId="62A351E8" w:rsidR="005447BB" w:rsidRPr="005447BB" w:rsidRDefault="005447BB" w:rsidP="005447BB">
      <w:pPr>
        <w:numPr>
          <w:ilvl w:val="1"/>
          <w:numId w:val="1"/>
        </w:numPr>
        <w:shd w:val="clear" w:color="auto" w:fill="FFFFFF"/>
        <w:spacing w:before="100" w:beforeAutospacing="1" w:after="84" w:line="240" w:lineRule="auto"/>
        <w:rPr>
          <w:rFonts w:eastAsia="Times New Roman" w:cstheme="minorHAnsi"/>
          <w:color w:val="383838"/>
          <w:kern w:val="0"/>
          <w14:ligatures w14:val="none"/>
        </w:rPr>
      </w:pPr>
      <w:r w:rsidRPr="005447BB">
        <w:rPr>
          <w:rFonts w:eastAsia="Times New Roman" w:cstheme="minorHAnsi"/>
          <w:color w:val="383838"/>
          <w:kern w:val="0"/>
          <w14:ligatures w14:val="none"/>
        </w:rPr>
        <w:t xml:space="preserve">Households earning under 30% of AMI are considered extremely </w:t>
      </w:r>
      <w:r w:rsidRPr="005447BB">
        <w:rPr>
          <w:rFonts w:eastAsia="Times New Roman" w:cstheme="minorHAnsi"/>
          <w:color w:val="383838"/>
          <w:kern w:val="0"/>
          <w14:ligatures w14:val="none"/>
        </w:rPr>
        <w:t>low-income.</w:t>
      </w:r>
      <w:r w:rsidRPr="005447BB">
        <w:rPr>
          <w:rFonts w:eastAsia="Times New Roman" w:cstheme="minorHAnsi"/>
          <w:color w:val="383838"/>
          <w:kern w:val="0"/>
          <w14:ligatures w14:val="none"/>
        </w:rPr>
        <w:t> </w:t>
      </w:r>
    </w:p>
    <w:p w14:paraId="20917D99" w14:textId="77777777" w:rsidR="005447BB" w:rsidRDefault="005447BB" w:rsidP="00C73A71"/>
    <w:p w14:paraId="017B9B54" w14:textId="77777777" w:rsidR="005447BB" w:rsidRDefault="005447BB" w:rsidP="00C73A71"/>
    <w:p w14:paraId="13BA109A" w14:textId="77777777" w:rsidR="00B32476" w:rsidRPr="00C73A71" w:rsidRDefault="00B32476" w:rsidP="00C73A71"/>
    <w:p w14:paraId="3A6FB45E" w14:textId="77777777" w:rsidR="00F441BD" w:rsidRDefault="00F441BD"/>
    <w:sectPr w:rsidR="00F441BD" w:rsidSect="00C73A7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E4ED0"/>
    <w:multiLevelType w:val="multilevel"/>
    <w:tmpl w:val="8978446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8052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71"/>
    <w:rsid w:val="00174BEC"/>
    <w:rsid w:val="005447BB"/>
    <w:rsid w:val="00B32476"/>
    <w:rsid w:val="00C73A71"/>
    <w:rsid w:val="00E62934"/>
    <w:rsid w:val="00F4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4F63"/>
  <w15:chartTrackingRefBased/>
  <w15:docId w15:val="{FC26E23F-86CE-4D71-A724-8385FCEA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A71"/>
    <w:rPr>
      <w:color w:val="0563C1" w:themeColor="hyperlink"/>
      <w:u w:val="single"/>
    </w:rPr>
  </w:style>
  <w:style w:type="character" w:styleId="UnresolvedMention">
    <w:name w:val="Unresolved Mention"/>
    <w:basedOn w:val="DefaultParagraphFont"/>
    <w:uiPriority w:val="99"/>
    <w:semiHidden/>
    <w:unhideWhenUsed/>
    <w:rsid w:val="00C73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66771">
      <w:bodyDiv w:val="1"/>
      <w:marLeft w:val="0"/>
      <w:marRight w:val="0"/>
      <w:marTop w:val="0"/>
      <w:marBottom w:val="0"/>
      <w:divBdr>
        <w:top w:val="none" w:sz="0" w:space="0" w:color="auto"/>
        <w:left w:val="none" w:sz="0" w:space="0" w:color="auto"/>
        <w:bottom w:val="none" w:sz="0" w:space="0" w:color="auto"/>
        <w:right w:val="none" w:sz="0" w:space="0" w:color="auto"/>
      </w:divBdr>
    </w:div>
    <w:div w:id="1357929836">
      <w:bodyDiv w:val="1"/>
      <w:marLeft w:val="0"/>
      <w:marRight w:val="0"/>
      <w:marTop w:val="0"/>
      <w:marBottom w:val="0"/>
      <w:divBdr>
        <w:top w:val="none" w:sz="0" w:space="0" w:color="auto"/>
        <w:left w:val="none" w:sz="0" w:space="0" w:color="auto"/>
        <w:bottom w:val="none" w:sz="0" w:space="0" w:color="auto"/>
        <w:right w:val="none" w:sz="0" w:space="0" w:color="auto"/>
      </w:divBdr>
      <w:divsChild>
        <w:div w:id="106432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yperlink" Target="https://www.federalregister.gov/documents/2022/01/21/2022-01166/annual-update-of-the-hhs-poverty-guidelines"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hyperlink" Target="https://nchousing.org/wp-content/uploads/2017/01/NCH-CountyProfile-Union.pdf" TargetMode="Externa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www.huduser.gov/portal/datasets/fmr.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Union County</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Colley</dc:creator>
  <cp:keywords/>
  <dc:description/>
  <cp:lastModifiedBy>Traci Colley</cp:lastModifiedBy>
  <cp:revision>5</cp:revision>
  <cp:lastPrinted>2023-06-09T12:38:00Z</cp:lastPrinted>
  <dcterms:created xsi:type="dcterms:W3CDTF">2023-06-09T12:24:00Z</dcterms:created>
  <dcterms:modified xsi:type="dcterms:W3CDTF">2023-06-09T12:38:00Z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2023-06-09T12:26:13Z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c9d42fa0-b999-4073-a2a6-25a5e1907c27</vt:lpwstr>
  </property>
  <property fmtid="{D5CDD505-2E9C-101B-9397-08002B2CF9AE}" pid="7" name="MSIP_Label_defa4170-0d19-0005-0004-bc88714345d2_ActionId">
    <vt:lpwstr>42f67ada-bf4f-4bf8-bede-371937f9ff9e</vt:lpwstr>
  </property>
  <property fmtid="{D5CDD505-2E9C-101B-9397-08002B2CF9AE}" pid="8" name="MSIP_Label_defa4170-0d19-0005-0004-bc88714345d2_ContentBits">
    <vt:lpwstr>0</vt:lpwstr>
  </property>
</Properties>
</file>